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72097" w:rsidRPr="00214F19" w:rsidRDefault="00770815" w:rsidP="00770815">
      <w:pPr>
        <w:spacing w:line="288" w:lineRule="auto"/>
        <w:ind w:right="907"/>
        <w:jc w:val="center"/>
        <w:rPr>
          <w:rFonts w:ascii="Cambria" w:hAnsi="Cambria" w:cs="Calibri"/>
          <w:b/>
          <w:bCs/>
          <w:sz w:val="22"/>
          <w:szCs w:val="22"/>
        </w:rPr>
      </w:pPr>
      <w:r w:rsidRPr="00214F19">
        <w:rPr>
          <w:rFonts w:ascii="Cambria" w:hAnsi="Cambria" w:cs="Calibri"/>
          <w:b/>
          <w:bCs/>
          <w:sz w:val="22"/>
          <w:szCs w:val="22"/>
        </w:rPr>
        <w:t>AVVISO AI CITTADINI</w:t>
      </w:r>
    </w:p>
    <w:p w:rsidR="00903D41" w:rsidRPr="00214F19" w:rsidRDefault="00903D41" w:rsidP="00903D41">
      <w:pPr>
        <w:jc w:val="right"/>
        <w:rPr>
          <w:rFonts w:ascii="Cambria" w:hAnsi="Cambria"/>
          <w:sz w:val="22"/>
          <w:szCs w:val="22"/>
        </w:rPr>
      </w:pPr>
    </w:p>
    <w:p w:rsidR="00FF5AD3" w:rsidRPr="00214F19" w:rsidRDefault="00FF5AD3" w:rsidP="00903D41">
      <w:pPr>
        <w:jc w:val="right"/>
        <w:rPr>
          <w:rFonts w:ascii="Cambria" w:hAnsi="Cambria"/>
          <w:sz w:val="22"/>
          <w:szCs w:val="22"/>
        </w:rPr>
      </w:pPr>
    </w:p>
    <w:p w:rsidR="00136512" w:rsidRPr="00214F19" w:rsidRDefault="00903D41" w:rsidP="00903D41">
      <w:pPr>
        <w:spacing w:after="300"/>
        <w:jc w:val="both"/>
        <w:rPr>
          <w:rFonts w:ascii="Cambria" w:hAnsi="Cambria"/>
          <w:b/>
          <w:sz w:val="22"/>
          <w:szCs w:val="22"/>
        </w:rPr>
      </w:pPr>
      <w:r w:rsidRPr="00214F19">
        <w:rPr>
          <w:rFonts w:ascii="Cambria" w:hAnsi="Cambria"/>
          <w:b/>
          <w:sz w:val="22"/>
          <w:szCs w:val="22"/>
        </w:rPr>
        <w:t xml:space="preserve">Oggetto: </w:t>
      </w:r>
      <w:r w:rsidR="00136512" w:rsidRPr="00214F19">
        <w:rPr>
          <w:rFonts w:ascii="Cambria" w:hAnsi="Cambria"/>
          <w:b/>
          <w:sz w:val="22"/>
          <w:szCs w:val="22"/>
        </w:rPr>
        <w:t xml:space="preserve">Chiarimenti sulla corretta </w:t>
      </w:r>
      <w:r w:rsidR="00065E7D" w:rsidRPr="00214F19">
        <w:rPr>
          <w:rFonts w:ascii="Cambria" w:hAnsi="Cambria"/>
          <w:b/>
          <w:sz w:val="22"/>
          <w:szCs w:val="22"/>
        </w:rPr>
        <w:t>applicazione</w:t>
      </w:r>
      <w:r w:rsidR="00136512" w:rsidRPr="00214F19">
        <w:rPr>
          <w:rFonts w:ascii="Cambria" w:hAnsi="Cambria"/>
          <w:b/>
          <w:sz w:val="22"/>
          <w:szCs w:val="22"/>
        </w:rPr>
        <w:t xml:space="preserve"> dell’art. 26, comma </w:t>
      </w:r>
      <w:r w:rsidR="00065E7D" w:rsidRPr="00214F19">
        <w:rPr>
          <w:rFonts w:ascii="Cambria" w:hAnsi="Cambria"/>
          <w:b/>
          <w:sz w:val="22"/>
          <w:szCs w:val="22"/>
        </w:rPr>
        <w:t>3, del Regolamento Comunale sull’IMU, approvato con delibera di C.C. n. 15 del 04.05.2020</w:t>
      </w:r>
    </w:p>
    <w:p w:rsidR="00065E7D" w:rsidRPr="00214F19" w:rsidRDefault="00065E7D" w:rsidP="00065E7D">
      <w:pPr>
        <w:spacing w:after="300"/>
        <w:ind w:firstLine="709"/>
        <w:jc w:val="both"/>
        <w:rPr>
          <w:rFonts w:ascii="Cambria" w:hAnsi="Cambria"/>
          <w:bCs/>
          <w:sz w:val="22"/>
          <w:szCs w:val="22"/>
        </w:rPr>
      </w:pPr>
      <w:bookmarkStart w:id="0" w:name="_GoBack"/>
      <w:r w:rsidRPr="00214F19">
        <w:rPr>
          <w:rFonts w:ascii="Cambria" w:hAnsi="Cambria"/>
          <w:bCs/>
          <w:sz w:val="22"/>
          <w:szCs w:val="22"/>
        </w:rPr>
        <w:t xml:space="preserve">In relazione </w:t>
      </w:r>
      <w:r w:rsidR="00E93A52" w:rsidRPr="00214F19">
        <w:rPr>
          <w:rFonts w:ascii="Cambria" w:hAnsi="Cambria"/>
          <w:bCs/>
          <w:sz w:val="22"/>
          <w:szCs w:val="22"/>
        </w:rPr>
        <w:t>al</w:t>
      </w:r>
      <w:r w:rsidRPr="00214F19">
        <w:rPr>
          <w:rFonts w:ascii="Cambria" w:hAnsi="Cambria"/>
          <w:bCs/>
          <w:sz w:val="22"/>
          <w:szCs w:val="22"/>
        </w:rPr>
        <w:t xml:space="preserve"> diritto al rimborso dell’IMU versata sui terreni comunali divenuti inedificabili a seguito dell’approvazione definitiva della variante del Regolamento Urbanistico del Comune di Tito, si forniscono i seguenti chiarimenti</w:t>
      </w:r>
      <w:r w:rsidR="00E93A52" w:rsidRPr="00214F19">
        <w:rPr>
          <w:rFonts w:ascii="Cambria" w:hAnsi="Cambria"/>
          <w:bCs/>
          <w:sz w:val="22"/>
          <w:szCs w:val="22"/>
        </w:rPr>
        <w:t xml:space="preserve"> atteso che si registra una non corretta interpretazione dell’art. 26 del Regolamento Comunale sull’Imposta municipale propria.</w:t>
      </w:r>
    </w:p>
    <w:p w:rsidR="00E93A52" w:rsidRPr="00214F19" w:rsidRDefault="00E93A52" w:rsidP="00E93A52">
      <w:pPr>
        <w:pStyle w:val="NormaleWeb"/>
        <w:ind w:firstLine="709"/>
        <w:jc w:val="both"/>
        <w:rPr>
          <w:rFonts w:ascii="Cambria" w:hAnsi="Cambria"/>
          <w:i/>
          <w:iCs/>
          <w:sz w:val="22"/>
          <w:szCs w:val="22"/>
        </w:rPr>
      </w:pPr>
      <w:r w:rsidRPr="00214F19">
        <w:rPr>
          <w:rFonts w:ascii="Cambria" w:hAnsi="Cambria"/>
          <w:bCs/>
          <w:sz w:val="22"/>
          <w:szCs w:val="22"/>
        </w:rPr>
        <w:t>Il 3° comma dell’art. 26, prevede che “</w:t>
      </w:r>
      <w:r w:rsidRPr="00214F19">
        <w:rPr>
          <w:rFonts w:ascii="Cambria" w:hAnsi="Cambria"/>
          <w:i/>
          <w:iCs/>
          <w:sz w:val="22"/>
          <w:szCs w:val="22"/>
        </w:rPr>
        <w:t xml:space="preserve">Su richiesta dell’interessato, il funzionario responsabile dispone il rimborso dell’imposta pagata per le aree divenute inedificabili </w:t>
      </w:r>
      <w:r w:rsidRPr="00214F19">
        <w:rPr>
          <w:rFonts w:ascii="Cambria" w:hAnsi="Cambria"/>
          <w:b/>
          <w:bCs/>
          <w:i/>
          <w:iCs/>
          <w:sz w:val="22"/>
          <w:szCs w:val="22"/>
        </w:rPr>
        <w:t>a seguito di approvazione definitiva</w:t>
      </w:r>
      <w:r w:rsidRPr="00214F19">
        <w:rPr>
          <w:rFonts w:ascii="Cambria" w:hAnsi="Cambria"/>
          <w:i/>
          <w:iCs/>
          <w:sz w:val="22"/>
          <w:szCs w:val="22"/>
        </w:rPr>
        <w:t xml:space="preserve"> di varianti agli strumenti urbanistici generali o attuativi oppure per vincoli imposti da leggi nazionali o regionali, successivamente al pagamento dell’imposta”</w:t>
      </w:r>
      <w:r w:rsidR="00770815" w:rsidRPr="00214F19">
        <w:rPr>
          <w:rFonts w:ascii="Cambria" w:hAnsi="Cambria"/>
          <w:i/>
          <w:iCs/>
          <w:sz w:val="22"/>
          <w:szCs w:val="22"/>
        </w:rPr>
        <w:t>.</w:t>
      </w:r>
    </w:p>
    <w:p w:rsidR="00492CC7" w:rsidRPr="00214F19" w:rsidRDefault="00E93A52" w:rsidP="00492CC7">
      <w:pPr>
        <w:ind w:firstLine="709"/>
        <w:jc w:val="both"/>
        <w:rPr>
          <w:rFonts w:ascii="Cambria" w:hAnsi="Cambria"/>
          <w:sz w:val="22"/>
          <w:szCs w:val="22"/>
        </w:rPr>
      </w:pPr>
      <w:r w:rsidRPr="00214F19">
        <w:rPr>
          <w:rFonts w:ascii="Cambria" w:hAnsi="Cambria"/>
          <w:sz w:val="22"/>
          <w:szCs w:val="22"/>
        </w:rPr>
        <w:t xml:space="preserve">La previsione regolamentare </w:t>
      </w:r>
      <w:r w:rsidR="00492CC7" w:rsidRPr="00214F19">
        <w:rPr>
          <w:rFonts w:ascii="Cambria" w:hAnsi="Cambria"/>
          <w:sz w:val="22"/>
          <w:szCs w:val="22"/>
        </w:rPr>
        <w:t xml:space="preserve">sopra citata </w:t>
      </w:r>
      <w:r w:rsidRPr="00214F19">
        <w:rPr>
          <w:rFonts w:ascii="Cambria" w:hAnsi="Cambria"/>
          <w:sz w:val="22"/>
          <w:szCs w:val="22"/>
        </w:rPr>
        <w:t>va applicata in combinato disposto con l</w:t>
      </w:r>
      <w:r w:rsidR="00492CC7" w:rsidRPr="00214F19">
        <w:rPr>
          <w:rFonts w:ascii="Cambria" w:hAnsi="Cambria"/>
          <w:sz w:val="22"/>
          <w:szCs w:val="22"/>
        </w:rPr>
        <w:t xml:space="preserve">’articolo unico </w:t>
      </w:r>
      <w:r w:rsidR="00492CC7" w:rsidRPr="00214F19">
        <w:rPr>
          <w:rFonts w:ascii="Cambria" w:hAnsi="Cambria"/>
          <w:bCs/>
          <w:sz w:val="22"/>
          <w:szCs w:val="22"/>
        </w:rPr>
        <w:t>de</w:t>
      </w:r>
      <w:r w:rsidRPr="00214F19">
        <w:rPr>
          <w:rFonts w:ascii="Cambria" w:hAnsi="Cambria"/>
          <w:bCs/>
          <w:sz w:val="22"/>
          <w:szCs w:val="22"/>
        </w:rPr>
        <w:t>lla</w:t>
      </w:r>
      <w:hyperlink r:id="rId7" w:history="1">
        <w:r w:rsidRPr="00214F19">
          <w:rPr>
            <w:rFonts w:ascii="Cambria" w:hAnsi="Cambria"/>
            <w:bCs/>
            <w:sz w:val="22"/>
            <w:szCs w:val="22"/>
          </w:rPr>
          <w:t xml:space="preserve"> L. n. 1902/1952</w:t>
        </w:r>
      </w:hyperlink>
      <w:r w:rsidR="00492CC7" w:rsidRPr="00214F19">
        <w:rPr>
          <w:rFonts w:ascii="Cambria" w:hAnsi="Cambria"/>
          <w:b/>
          <w:sz w:val="22"/>
          <w:szCs w:val="22"/>
        </w:rPr>
        <w:t>(c.d. Misura di Salvaguardia)</w:t>
      </w:r>
      <w:r w:rsidRPr="00214F19">
        <w:rPr>
          <w:rFonts w:ascii="Cambria" w:hAnsi="Cambria"/>
          <w:bCs/>
          <w:sz w:val="22"/>
          <w:szCs w:val="22"/>
        </w:rPr>
        <w:t xml:space="preserve">che </w:t>
      </w:r>
      <w:r w:rsidR="00492CC7" w:rsidRPr="00214F19">
        <w:rPr>
          <w:rFonts w:ascii="Cambria" w:hAnsi="Cambria"/>
          <w:sz w:val="22"/>
          <w:szCs w:val="22"/>
        </w:rPr>
        <w:t xml:space="preserve">di fatto sospende </w:t>
      </w:r>
      <w:r w:rsidR="00492CC7" w:rsidRPr="00214F19">
        <w:rPr>
          <w:rFonts w:ascii="Cambria" w:hAnsi="Cambria" w:cs="Arial"/>
          <w:sz w:val="22"/>
          <w:szCs w:val="22"/>
          <w:shd w:val="clear" w:color="auto" w:fill="FFFFFF"/>
        </w:rPr>
        <w:t>le determinazioni dell’Amministrazione sulle domande</w:t>
      </w:r>
      <w:r w:rsidR="00492CC7" w:rsidRPr="00214F19">
        <w:rPr>
          <w:rStyle w:val="apple-converted-space"/>
          <w:rFonts w:ascii="Cambria" w:hAnsi="Cambria" w:cs="Arial"/>
          <w:sz w:val="22"/>
          <w:szCs w:val="22"/>
          <w:shd w:val="clear" w:color="auto" w:fill="FFFFFF"/>
        </w:rPr>
        <w:t> </w:t>
      </w:r>
      <w:r w:rsidR="00492CC7" w:rsidRPr="00214F19">
        <w:rPr>
          <w:rFonts w:ascii="Cambria" w:hAnsi="Cambria" w:cs="Arial"/>
          <w:sz w:val="22"/>
          <w:szCs w:val="22"/>
        </w:rPr>
        <w:t>di</w:t>
      </w:r>
      <w:r w:rsidR="00492CC7" w:rsidRPr="00214F19">
        <w:rPr>
          <w:rStyle w:val="apple-converted-space"/>
          <w:rFonts w:ascii="Cambria" w:hAnsi="Cambria" w:cs="Arial"/>
          <w:sz w:val="22"/>
          <w:szCs w:val="22"/>
          <w:shd w:val="clear" w:color="auto" w:fill="FFFFFF"/>
        </w:rPr>
        <w:t> </w:t>
      </w:r>
      <w:r w:rsidR="00492CC7" w:rsidRPr="00214F19">
        <w:rPr>
          <w:rFonts w:ascii="Cambria" w:hAnsi="Cambria" w:cs="Arial"/>
          <w:sz w:val="22"/>
          <w:szCs w:val="22"/>
          <w:shd w:val="clear" w:color="auto" w:fill="FFFFFF"/>
        </w:rPr>
        <w:t>concessione</w:t>
      </w:r>
      <w:r w:rsidR="00C46211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492CC7" w:rsidRPr="00214F19">
        <w:rPr>
          <w:rFonts w:ascii="Cambria" w:hAnsi="Cambria" w:cs="Arial"/>
          <w:sz w:val="22"/>
          <w:szCs w:val="22"/>
          <w:shd w:val="clear" w:color="auto" w:fill="FFFFFF"/>
        </w:rPr>
        <w:t>edilizia</w:t>
      </w:r>
      <w:r w:rsidR="00C46211">
        <w:rPr>
          <w:rFonts w:ascii="Cambria" w:hAnsi="Cambria" w:cs="Arial"/>
          <w:sz w:val="22"/>
          <w:szCs w:val="22"/>
          <w:shd w:val="clear" w:color="auto" w:fill="FFFFFF"/>
        </w:rPr>
        <w:t xml:space="preserve"> </w:t>
      </w:r>
      <w:r w:rsidR="00492CC7" w:rsidRPr="00214F19">
        <w:rPr>
          <w:rFonts w:ascii="Cambria" w:hAnsi="Cambria" w:cs="Arial"/>
          <w:sz w:val="22"/>
          <w:szCs w:val="22"/>
          <w:u w:val="single"/>
          <w:shd w:val="clear" w:color="auto" w:fill="FFFFFF"/>
        </w:rPr>
        <w:t>nel periodo intercorrente tra la adozione del Piano regolatore (o sua variante) e l’approvazione.</w:t>
      </w:r>
    </w:p>
    <w:p w:rsidR="00214F19" w:rsidRPr="00214F19" w:rsidRDefault="00214F19" w:rsidP="00770815">
      <w:pPr>
        <w:spacing w:after="300"/>
        <w:ind w:firstLine="709"/>
        <w:jc w:val="both"/>
        <w:rPr>
          <w:rFonts w:ascii="Cambria" w:hAnsi="Cambria"/>
          <w:sz w:val="22"/>
          <w:szCs w:val="22"/>
        </w:rPr>
      </w:pPr>
    </w:p>
    <w:p w:rsidR="00770815" w:rsidRPr="00214F19" w:rsidRDefault="00492CC7" w:rsidP="00770815">
      <w:pPr>
        <w:spacing w:after="300"/>
        <w:ind w:firstLine="709"/>
        <w:jc w:val="both"/>
        <w:rPr>
          <w:rFonts w:ascii="Cambria" w:hAnsi="Cambria"/>
          <w:sz w:val="22"/>
          <w:szCs w:val="22"/>
        </w:rPr>
      </w:pPr>
      <w:r w:rsidRPr="00214F19">
        <w:rPr>
          <w:rFonts w:ascii="Cambria" w:hAnsi="Cambria"/>
          <w:sz w:val="22"/>
          <w:szCs w:val="22"/>
        </w:rPr>
        <w:t xml:space="preserve">Questo vuol dire che il diritto al rimborso dell’IMU versata per terreni divenuti inedificabili </w:t>
      </w:r>
      <w:r w:rsidRPr="00214F19">
        <w:rPr>
          <w:rFonts w:ascii="Cambria" w:hAnsi="Cambria"/>
          <w:b/>
          <w:bCs/>
          <w:sz w:val="22"/>
          <w:szCs w:val="22"/>
        </w:rPr>
        <w:t>retroagisce alla data della adozione della variante al PRG</w:t>
      </w:r>
      <w:r w:rsidR="00770815" w:rsidRPr="00214F19">
        <w:rPr>
          <w:rFonts w:ascii="Cambria" w:hAnsi="Cambria"/>
          <w:sz w:val="22"/>
          <w:szCs w:val="22"/>
        </w:rPr>
        <w:t xml:space="preserve">. </w:t>
      </w:r>
      <w:r w:rsidR="00770815" w:rsidRPr="00214F19">
        <w:rPr>
          <w:rFonts w:ascii="Cambria" w:hAnsi="Cambria"/>
          <w:bCs/>
          <w:sz w:val="22"/>
          <w:szCs w:val="22"/>
          <w:u w:val="single"/>
        </w:rPr>
        <w:t>In nessun caso sarà dovuto un rimborso per i 5 anni precedenti l’approvazione della variante</w:t>
      </w:r>
      <w:r w:rsidR="00770815" w:rsidRPr="00214F19">
        <w:rPr>
          <w:rFonts w:ascii="Cambria" w:hAnsi="Cambria"/>
          <w:bCs/>
          <w:sz w:val="22"/>
          <w:szCs w:val="22"/>
        </w:rPr>
        <w:t xml:space="preserve"> in quanto il diritto al rimborso si matura dalla data di adozione della variante per effetto della misura di salvaguardia.</w:t>
      </w:r>
    </w:p>
    <w:p w:rsidR="00492CC7" w:rsidRPr="00214F19" w:rsidRDefault="00492CC7" w:rsidP="00492CC7">
      <w:pPr>
        <w:spacing w:after="300"/>
        <w:ind w:firstLine="709"/>
        <w:jc w:val="both"/>
        <w:rPr>
          <w:rFonts w:ascii="Cambria" w:hAnsi="Cambria"/>
          <w:bCs/>
          <w:sz w:val="22"/>
          <w:szCs w:val="22"/>
        </w:rPr>
      </w:pPr>
      <w:r w:rsidRPr="00214F19">
        <w:rPr>
          <w:rFonts w:ascii="Cambria" w:hAnsi="Cambria"/>
          <w:bCs/>
          <w:sz w:val="22"/>
          <w:szCs w:val="22"/>
        </w:rPr>
        <w:t xml:space="preserve">Il procedimento di approvazione definitiva della variante al Regolamento urbanistico del Comune di Tito </w:t>
      </w:r>
      <w:r w:rsidRPr="00214F19">
        <w:rPr>
          <w:rFonts w:ascii="Cambria" w:hAnsi="Cambria"/>
          <w:b/>
          <w:sz w:val="22"/>
          <w:szCs w:val="22"/>
        </w:rPr>
        <w:t>si è consumato</w:t>
      </w:r>
      <w:r w:rsidR="00170FC3">
        <w:rPr>
          <w:rFonts w:ascii="Cambria" w:hAnsi="Cambria"/>
          <w:b/>
          <w:sz w:val="22"/>
          <w:szCs w:val="22"/>
        </w:rPr>
        <w:t xml:space="preserve"> </w:t>
      </w:r>
      <w:r w:rsidRPr="00214F19">
        <w:rPr>
          <w:rFonts w:ascii="Cambria" w:hAnsi="Cambria"/>
          <w:b/>
          <w:sz w:val="22"/>
          <w:szCs w:val="22"/>
        </w:rPr>
        <w:t>nel periodo dal 02.03.2021</w:t>
      </w:r>
      <w:r w:rsidRPr="00214F19">
        <w:rPr>
          <w:rFonts w:ascii="Cambria" w:hAnsi="Cambria"/>
          <w:bCs/>
          <w:sz w:val="22"/>
          <w:szCs w:val="22"/>
        </w:rPr>
        <w:t xml:space="preserve"> (data di approvazione della delibera di Consiglio Comunale n. 15 del 02.03.2021 di “Adozione della variante”) al </w:t>
      </w:r>
      <w:r w:rsidRPr="00214F19">
        <w:rPr>
          <w:rFonts w:ascii="Cambria" w:hAnsi="Cambria"/>
          <w:b/>
          <w:sz w:val="22"/>
          <w:szCs w:val="22"/>
        </w:rPr>
        <w:t>02.07.2021</w:t>
      </w:r>
      <w:r w:rsidRPr="00214F19">
        <w:rPr>
          <w:rFonts w:ascii="Cambria" w:hAnsi="Cambria"/>
          <w:bCs/>
          <w:sz w:val="22"/>
          <w:szCs w:val="22"/>
        </w:rPr>
        <w:t xml:space="preserve"> data di esecutività della delibera di Consiglio Comunale n. 36 del 15.06.2021 pubblicata il 22.06.2021 di “Approvazione definitiva della variante”.</w:t>
      </w:r>
    </w:p>
    <w:p w:rsidR="00492CC7" w:rsidRPr="00214F19" w:rsidRDefault="00775F6F" w:rsidP="00065E7D">
      <w:pPr>
        <w:spacing w:after="300"/>
        <w:ind w:firstLine="709"/>
        <w:jc w:val="both"/>
        <w:rPr>
          <w:rFonts w:ascii="Cambria" w:hAnsi="Cambria"/>
          <w:bCs/>
          <w:sz w:val="22"/>
          <w:szCs w:val="22"/>
        </w:rPr>
      </w:pPr>
      <w:r w:rsidRPr="00214F19">
        <w:rPr>
          <w:rFonts w:ascii="Cambria" w:hAnsi="Cambria"/>
          <w:bCs/>
          <w:sz w:val="22"/>
          <w:szCs w:val="22"/>
        </w:rPr>
        <w:t xml:space="preserve">Sarà, pertanto, ammesso il rimborso </w:t>
      </w:r>
      <w:r w:rsidR="00214F19" w:rsidRPr="00214F19">
        <w:rPr>
          <w:rFonts w:ascii="Cambria" w:hAnsi="Cambria"/>
          <w:b/>
          <w:sz w:val="22"/>
          <w:szCs w:val="22"/>
          <w:u w:val="single"/>
        </w:rPr>
        <w:t xml:space="preserve">unicamente per i 4 mesi </w:t>
      </w:r>
      <w:r w:rsidR="00214F19" w:rsidRPr="00214F19">
        <w:rPr>
          <w:rFonts w:ascii="Cambria" w:hAnsi="Cambria"/>
          <w:bCs/>
          <w:sz w:val="22"/>
          <w:szCs w:val="22"/>
        </w:rPr>
        <w:t>(02.03.2021 – 02.07.2021) intercorrenti dalla data di adozione all’approvazione definitiva della variante</w:t>
      </w:r>
      <w:r w:rsidR="00214F19">
        <w:rPr>
          <w:rFonts w:ascii="Cambria" w:hAnsi="Cambria"/>
          <w:bCs/>
          <w:sz w:val="22"/>
          <w:szCs w:val="22"/>
        </w:rPr>
        <w:t>,</w:t>
      </w:r>
      <w:r w:rsidR="00214F19" w:rsidRPr="00214F19">
        <w:rPr>
          <w:rFonts w:ascii="Cambria" w:hAnsi="Cambria"/>
          <w:bCs/>
          <w:sz w:val="22"/>
          <w:szCs w:val="22"/>
        </w:rPr>
        <w:t xml:space="preserve"> </w:t>
      </w:r>
      <w:r w:rsidR="00492CC7" w:rsidRPr="00214F19">
        <w:rPr>
          <w:rFonts w:ascii="Cambria" w:hAnsi="Cambria"/>
          <w:bCs/>
          <w:sz w:val="22"/>
          <w:szCs w:val="22"/>
        </w:rPr>
        <w:t xml:space="preserve">nel caso in cui </w:t>
      </w:r>
      <w:r w:rsidR="00782796" w:rsidRPr="00214F19">
        <w:rPr>
          <w:rFonts w:ascii="Cambria" w:hAnsi="Cambria"/>
          <w:bCs/>
          <w:sz w:val="22"/>
          <w:szCs w:val="22"/>
        </w:rPr>
        <w:t xml:space="preserve">la inedificabilità dell’area (per effetto della variante) sia intervenuta successivamente al pagamento dell’imposta. </w:t>
      </w:r>
    </w:p>
    <w:p w:rsidR="00782796" w:rsidRPr="00214F19" w:rsidRDefault="00782796" w:rsidP="00782796">
      <w:pPr>
        <w:spacing w:after="300"/>
        <w:jc w:val="both"/>
        <w:rPr>
          <w:rFonts w:ascii="Cambria" w:hAnsi="Cambria"/>
          <w:bCs/>
          <w:sz w:val="22"/>
          <w:szCs w:val="22"/>
        </w:rPr>
      </w:pPr>
      <w:r w:rsidRPr="00214F19">
        <w:rPr>
          <w:rFonts w:ascii="Cambria" w:hAnsi="Cambria"/>
          <w:bCs/>
          <w:sz w:val="22"/>
          <w:szCs w:val="22"/>
        </w:rPr>
        <w:tab/>
        <w:t>Si invitano, pertanto, i cittadini che non abbiano ancora pagato il saldo a rideterminare l’importo in considerazione della intervenuta variazione.</w:t>
      </w:r>
    </w:p>
    <w:p w:rsidR="00214F19" w:rsidRPr="00214F19" w:rsidRDefault="00214F19" w:rsidP="00214F19">
      <w:pPr>
        <w:spacing w:after="300"/>
        <w:ind w:firstLine="709"/>
        <w:jc w:val="both"/>
        <w:rPr>
          <w:rFonts w:ascii="Cambria" w:hAnsi="Cambria"/>
          <w:bCs/>
          <w:sz w:val="22"/>
          <w:szCs w:val="22"/>
        </w:rPr>
      </w:pPr>
      <w:r w:rsidRPr="00214F19">
        <w:rPr>
          <w:rFonts w:ascii="Cambria" w:hAnsi="Cambria" w:cs="Arial"/>
          <w:sz w:val="22"/>
          <w:szCs w:val="22"/>
          <w:shd w:val="clear" w:color="auto" w:fill="FFFFFF"/>
        </w:rPr>
        <w:t>Per maggiori informazioni è possibile rivolgersi all'ufficio finanziario telefonando allo 0971796220 oppure inviando una mail all’indirizzo </w:t>
      </w:r>
      <w:hyperlink r:id="rId8" w:tgtFrame="_blank" w:history="1">
        <w:r w:rsidRPr="00214F19">
          <w:rPr>
            <w:rStyle w:val="Collegamentoipertestuale"/>
            <w:rFonts w:ascii="Cambria" w:hAnsi="Cambria" w:cs="Arial"/>
            <w:color w:val="auto"/>
            <w:sz w:val="22"/>
            <w:szCs w:val="22"/>
            <w:shd w:val="clear" w:color="auto" w:fill="FFFFFF"/>
          </w:rPr>
          <w:t>ufficiotributi@comune.tito.pz.it</w:t>
        </w:r>
      </w:hyperlink>
      <w:r w:rsidRPr="00214F19">
        <w:rPr>
          <w:rFonts w:ascii="Cambria" w:hAnsi="Cambria" w:cs="Arial"/>
          <w:sz w:val="22"/>
          <w:szCs w:val="22"/>
          <w:shd w:val="clear" w:color="auto" w:fill="FFFFFF"/>
        </w:rPr>
        <w:t> </w:t>
      </w:r>
    </w:p>
    <w:bookmarkEnd w:id="0"/>
    <w:p w:rsidR="00903D41" w:rsidRPr="00214F19" w:rsidRDefault="00903D41" w:rsidP="000A1C32">
      <w:pPr>
        <w:spacing w:after="300"/>
        <w:jc w:val="both"/>
        <w:rPr>
          <w:rFonts w:ascii="Cambria" w:hAnsi="Cambria"/>
          <w:sz w:val="22"/>
          <w:szCs w:val="22"/>
        </w:rPr>
      </w:pPr>
    </w:p>
    <w:sectPr w:rsidR="00903D41" w:rsidRPr="00214F19" w:rsidSect="005479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96" w:right="1134" w:bottom="1190" w:left="1134" w:header="1134" w:footer="720" w:gutter="0"/>
      <w:cols w:space="720"/>
      <w:titlePg/>
      <w:bidi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12" w:rsidRDefault="00186912">
      <w:r>
        <w:separator/>
      </w:r>
    </w:p>
  </w:endnote>
  <w:endnote w:type="continuationSeparator" w:id="0">
    <w:p w:rsidR="00186912" w:rsidRDefault="0018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dwig Nor">
    <w:altName w:val="Calibri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DE" w:rsidRDefault="00F37F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097" w:rsidRDefault="008C614C">
    <w:pPr>
      <w:pStyle w:val="Intestazioneepidipagina"/>
      <w:tabs>
        <w:tab w:val="clear" w:pos="9020"/>
        <w:tab w:val="right" w:pos="9638"/>
      </w:tabs>
    </w:pPr>
    <w:r>
      <w:rPr>
        <w:rFonts w:ascii="Calibri" w:eastAsia="Calibri" w:hAnsi="Calibri" w:cs="Calibri"/>
        <w:sz w:val="18"/>
        <w:szCs w:val="18"/>
      </w:rPr>
      <w:t>–</w:t>
    </w:r>
  </w:p>
  <w:p w:rsidR="009471E7" w:rsidRPr="009471E7" w:rsidRDefault="008C614C" w:rsidP="009471E7">
    <w:pPr>
      <w:pStyle w:val="Intestazioneepidipagina"/>
      <w:tabs>
        <w:tab w:val="right" w:pos="9638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Comune di Tito. </w:t>
    </w:r>
    <w:r w:rsidR="009471E7">
      <w:rPr>
        <w:rFonts w:ascii="Calibri" w:hAnsi="Calibri" w:cs="Calibri"/>
        <w:sz w:val="18"/>
        <w:szCs w:val="18"/>
      </w:rPr>
      <w:t>S</w:t>
    </w:r>
    <w:r w:rsidR="009471E7" w:rsidRPr="009471E7">
      <w:rPr>
        <w:rFonts w:ascii="Calibri" w:hAnsi="Calibri" w:cs="Calibri"/>
        <w:sz w:val="18"/>
        <w:szCs w:val="18"/>
      </w:rPr>
      <w:t>ervizio tributi e finanziario</w:t>
    </w:r>
  </w:p>
  <w:p w:rsidR="006A064F" w:rsidRPr="006A064F" w:rsidRDefault="006A064F" w:rsidP="006A064F">
    <w:pPr>
      <w:pStyle w:val="Intestazioneepidipagina"/>
      <w:tabs>
        <w:tab w:val="right" w:pos="9638"/>
      </w:tabs>
      <w:rPr>
        <w:rFonts w:ascii="Calibri" w:hAnsi="Calibri" w:cs="Calibri"/>
        <w:sz w:val="18"/>
        <w:szCs w:val="18"/>
      </w:rPr>
    </w:pPr>
  </w:p>
  <w:p w:rsidR="00972097" w:rsidRDefault="008C614C">
    <w:pPr>
      <w:pStyle w:val="Intestazioneepidipagina"/>
      <w:tabs>
        <w:tab w:val="clear" w:pos="9020"/>
        <w:tab w:val="right" w:pos="9638"/>
      </w:tabs>
    </w:pPr>
    <w:r>
      <w:rPr>
        <w:rFonts w:ascii="Ludwig Nor" w:hAnsi="Ludwig Nor" w:cs="Ludwig Nor"/>
        <w:sz w:val="18"/>
        <w:szCs w:val="18"/>
      </w:rPr>
      <w:tab/>
    </w:r>
    <w:r w:rsidR="005479FA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5479FA">
      <w:rPr>
        <w:sz w:val="18"/>
        <w:szCs w:val="18"/>
      </w:rPr>
      <w:fldChar w:fldCharType="separate"/>
    </w:r>
    <w:r w:rsidR="000A1C32">
      <w:rPr>
        <w:noProof/>
        <w:sz w:val="18"/>
        <w:szCs w:val="18"/>
      </w:rPr>
      <w:t>2</w:t>
    </w:r>
    <w:r w:rsidR="005479F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FDE" w:rsidRDefault="00F37F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12" w:rsidRDefault="00186912">
      <w:r>
        <w:separator/>
      </w:r>
    </w:p>
  </w:footnote>
  <w:footnote w:type="continuationSeparator" w:id="0">
    <w:p w:rsidR="00186912" w:rsidRDefault="0018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78" w:rsidRDefault="001E3E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E78" w:rsidRDefault="001E3E7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097" w:rsidRDefault="001E3E78">
    <w:pPr>
      <w:pStyle w:val="Rigadintestazione"/>
    </w:pPr>
    <w:r>
      <w:rPr>
        <w:noProof/>
        <w:lang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8405" cy="2121535"/>
          <wp:effectExtent l="0" t="0" r="0" b="0"/>
          <wp:wrapTopAndBottom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121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07D7"/>
    <w:multiLevelType w:val="multilevel"/>
    <w:tmpl w:val="F17EF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E25A9"/>
    <w:multiLevelType w:val="multilevel"/>
    <w:tmpl w:val="072C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281607"/>
    <w:multiLevelType w:val="hybridMultilevel"/>
    <w:tmpl w:val="6D9C566A"/>
    <w:lvl w:ilvl="0" w:tplc="494094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78"/>
    <w:rsid w:val="00065E7D"/>
    <w:rsid w:val="000A1C32"/>
    <w:rsid w:val="00136512"/>
    <w:rsid w:val="00170FC3"/>
    <w:rsid w:val="00186912"/>
    <w:rsid w:val="001B27B4"/>
    <w:rsid w:val="001B5312"/>
    <w:rsid w:val="001E3E78"/>
    <w:rsid w:val="00214F19"/>
    <w:rsid w:val="002A04A3"/>
    <w:rsid w:val="00492CC7"/>
    <w:rsid w:val="005252C2"/>
    <w:rsid w:val="005479FA"/>
    <w:rsid w:val="006356F6"/>
    <w:rsid w:val="00661ECC"/>
    <w:rsid w:val="00671E09"/>
    <w:rsid w:val="006911D1"/>
    <w:rsid w:val="006A064F"/>
    <w:rsid w:val="00713C7C"/>
    <w:rsid w:val="00734815"/>
    <w:rsid w:val="00770815"/>
    <w:rsid w:val="00775F6F"/>
    <w:rsid w:val="00782796"/>
    <w:rsid w:val="00865A33"/>
    <w:rsid w:val="008765AF"/>
    <w:rsid w:val="008C614C"/>
    <w:rsid w:val="00903D41"/>
    <w:rsid w:val="0091294E"/>
    <w:rsid w:val="009471E7"/>
    <w:rsid w:val="00950BE7"/>
    <w:rsid w:val="00961618"/>
    <w:rsid w:val="00972097"/>
    <w:rsid w:val="00A62E52"/>
    <w:rsid w:val="00BE37CE"/>
    <w:rsid w:val="00C36D5A"/>
    <w:rsid w:val="00C46211"/>
    <w:rsid w:val="00CE5A64"/>
    <w:rsid w:val="00E818F1"/>
    <w:rsid w:val="00E93A52"/>
    <w:rsid w:val="00F37FDE"/>
    <w:rsid w:val="00FF5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257B80"/>
  <w15:docId w15:val="{F03C0DF4-6B0E-4170-A608-647D3801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2C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5479FA"/>
  </w:style>
  <w:style w:type="character" w:styleId="Collegamentoipertestuale">
    <w:name w:val="Hyperlink"/>
    <w:rsid w:val="005479FA"/>
    <w:rPr>
      <w:color w:val="000080"/>
      <w:u w:val="single"/>
    </w:rPr>
  </w:style>
  <w:style w:type="paragraph" w:customStyle="1" w:styleId="Titolo1">
    <w:name w:val="Titolo1"/>
    <w:basedOn w:val="Normale"/>
    <w:next w:val="Corpotesto"/>
    <w:rsid w:val="005479FA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40" w:after="120" w:line="100" w:lineRule="atLeast"/>
    </w:pPr>
    <w:rPr>
      <w:rFonts w:ascii="Liberation Sans" w:eastAsia="Microsoft YaHei" w:hAnsi="Liberation Sans" w:cs="Mangal"/>
      <w:color w:val="000000"/>
      <w:kern w:val="1"/>
      <w:sz w:val="28"/>
      <w:szCs w:val="28"/>
      <w:lang w:eastAsia="en-US"/>
    </w:rPr>
  </w:style>
  <w:style w:type="paragraph" w:styleId="Corpotesto">
    <w:name w:val="Body Text"/>
    <w:basedOn w:val="Normale"/>
    <w:rsid w:val="005479F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after="140" w:line="288" w:lineRule="auto"/>
    </w:pPr>
    <w:rPr>
      <w:rFonts w:eastAsia="Arial Unicode MS" w:cs="Arial Unicode MS"/>
      <w:color w:val="000000"/>
      <w:kern w:val="1"/>
      <w:lang w:eastAsia="en-US"/>
    </w:rPr>
  </w:style>
  <w:style w:type="paragraph" w:styleId="Elenco">
    <w:name w:val="List"/>
    <w:basedOn w:val="Corpotesto"/>
    <w:rsid w:val="005479FA"/>
    <w:rPr>
      <w:rFonts w:cs="Mangal"/>
    </w:rPr>
  </w:style>
  <w:style w:type="paragraph" w:styleId="Didascalia">
    <w:name w:val="caption"/>
    <w:basedOn w:val="Normale"/>
    <w:qFormat/>
    <w:rsid w:val="005479FA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en-US"/>
    </w:rPr>
  </w:style>
  <w:style w:type="paragraph" w:customStyle="1" w:styleId="Indice">
    <w:name w:val="Indice"/>
    <w:basedOn w:val="Normale"/>
    <w:rsid w:val="005479FA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line="100" w:lineRule="atLeast"/>
    </w:pPr>
    <w:rPr>
      <w:rFonts w:eastAsia="Arial Unicode MS" w:cs="Mangal"/>
      <w:color w:val="000000"/>
      <w:kern w:val="1"/>
      <w:lang w:eastAsia="en-US"/>
    </w:rPr>
  </w:style>
  <w:style w:type="paragraph" w:styleId="Intestazione">
    <w:name w:val="header"/>
    <w:basedOn w:val="Normale"/>
    <w:next w:val="Corpotesto"/>
    <w:rsid w:val="005479FA"/>
    <w:pPr>
      <w:keepNext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40" w:after="120" w:line="100" w:lineRule="atLeast"/>
    </w:pPr>
    <w:rPr>
      <w:rFonts w:ascii="Arial" w:eastAsia="Arial Unicode MS" w:hAnsi="Arial" w:cs="Arial Unicode MS"/>
      <w:color w:val="000000"/>
      <w:kern w:val="1"/>
      <w:sz w:val="28"/>
      <w:szCs w:val="28"/>
      <w:lang w:eastAsia="en-US"/>
    </w:rPr>
  </w:style>
  <w:style w:type="paragraph" w:styleId="Sottotitolo">
    <w:name w:val="Subtitle"/>
    <w:basedOn w:val="Intestazione"/>
    <w:next w:val="Corpotesto"/>
    <w:qFormat/>
    <w:rsid w:val="005479FA"/>
    <w:pPr>
      <w:jc w:val="center"/>
    </w:pPr>
    <w:rPr>
      <w:i/>
      <w:iCs/>
    </w:rPr>
  </w:style>
  <w:style w:type="paragraph" w:customStyle="1" w:styleId="Rigadintestazione">
    <w:name w:val="Riga d'intestazione"/>
    <w:basedOn w:val="Normale"/>
    <w:rsid w:val="005479F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center" w:pos="4819"/>
        <w:tab w:val="right" w:pos="9638"/>
      </w:tabs>
      <w:suppressAutoHyphens/>
      <w:spacing w:line="100" w:lineRule="atLeast"/>
    </w:pPr>
    <w:rPr>
      <w:rFonts w:eastAsia="Arial Unicode MS" w:cs="Arial Unicode MS"/>
      <w:color w:val="000000"/>
      <w:kern w:val="1"/>
      <w:lang w:eastAsia="en-US"/>
    </w:rPr>
  </w:style>
  <w:style w:type="paragraph" w:customStyle="1" w:styleId="Intestazioneepidipagina">
    <w:name w:val="Intestazione e piè di pagina"/>
    <w:rsid w:val="005479F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right" w:pos="9020"/>
      </w:tabs>
      <w:spacing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rsid w:val="005479F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line="100" w:lineRule="atLeast"/>
    </w:pPr>
    <w:rPr>
      <w:rFonts w:eastAsia="Arial Unicode MS" w:cs="Arial Unicode MS"/>
      <w:color w:val="000000"/>
      <w:kern w:val="1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93A5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492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tributi@comune.tito.pz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tudiotecnicopagliai.it/legge-19021952-misure-salvaguardia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LAURINO FABIO</cp:lastModifiedBy>
  <cp:revision>2</cp:revision>
  <cp:lastPrinted>2016-10-31T10:02:00Z</cp:lastPrinted>
  <dcterms:created xsi:type="dcterms:W3CDTF">2021-10-29T12:23:00Z</dcterms:created>
  <dcterms:modified xsi:type="dcterms:W3CDTF">2021-10-29T12:23:00Z</dcterms:modified>
</cp:coreProperties>
</file>